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772E6" w14:textId="1B96C63C" w:rsidR="00FA6DF7" w:rsidRPr="00B92713" w:rsidRDefault="00560A1D" w:rsidP="00E35559">
      <w:pPr>
        <w:pStyle w:val="3GPPHeader"/>
        <w:spacing w:after="60"/>
        <w:rPr>
          <w:sz w:val="32"/>
          <w:szCs w:val="32"/>
        </w:rPr>
      </w:pPr>
      <w:r w:rsidRPr="00B92713">
        <w:t>3GPP TSG-RAN WG1 Meeting #9</w:t>
      </w:r>
      <w:r w:rsidR="00D9547E" w:rsidRPr="00B92713">
        <w:t>2</w:t>
      </w:r>
      <w:r w:rsidR="007C68A4">
        <w:t>bis</w:t>
      </w:r>
      <w:r w:rsidR="00E90E49" w:rsidRPr="00B92713">
        <w:tab/>
      </w:r>
      <w:r w:rsidR="007C68A4" w:rsidRPr="001005F3">
        <w:t>R1-180</w:t>
      </w:r>
      <w:r w:rsidR="001005F3" w:rsidRPr="001005F3">
        <w:t>4631</w:t>
      </w:r>
    </w:p>
    <w:p w14:paraId="51C3CE46" w14:textId="223AC581" w:rsidR="00E90E49" w:rsidRPr="00B92713" w:rsidRDefault="00AB1836" w:rsidP="00311702">
      <w:pPr>
        <w:pStyle w:val="3GPPHeader"/>
      </w:pPr>
      <w:r w:rsidRPr="00AB1836">
        <w:t>Sanya, China, April 16</w:t>
      </w:r>
      <w:r w:rsidRPr="00111BF2">
        <w:rPr>
          <w:vertAlign w:val="superscript"/>
        </w:rPr>
        <w:t>th</w:t>
      </w:r>
      <w:r w:rsidRPr="00AB1836">
        <w:t xml:space="preserve"> – 20</w:t>
      </w:r>
      <w:r w:rsidRPr="00111BF2">
        <w:rPr>
          <w:vertAlign w:val="superscript"/>
        </w:rPr>
        <w:t>th</w:t>
      </w:r>
      <w:r w:rsidRPr="00AB1836">
        <w:t>, 2018</w:t>
      </w:r>
      <w:r w:rsidR="007C68A4">
        <w:tab/>
        <w:t xml:space="preserve">(Resubmission of </w:t>
      </w:r>
      <w:r w:rsidR="007C68A4" w:rsidRPr="00B92713">
        <w:t>R1-1802517</w:t>
      </w:r>
      <w:r w:rsidR="007C68A4">
        <w:t>)</w:t>
      </w:r>
    </w:p>
    <w:p w14:paraId="606D9DC9" w14:textId="0D6CFE8A" w:rsidR="00E90E49" w:rsidRPr="00942ECC" w:rsidRDefault="00E90E49" w:rsidP="008F2DE1">
      <w:pPr>
        <w:pStyle w:val="3GPPHeader"/>
        <w:spacing w:after="0"/>
        <w:rPr>
          <w:sz w:val="22"/>
        </w:rPr>
      </w:pPr>
      <w:r w:rsidRPr="00B92713">
        <w:rPr>
          <w:sz w:val="22"/>
        </w:rPr>
        <w:t>Agenda Item:</w:t>
      </w:r>
      <w:r w:rsidRPr="00B92713">
        <w:rPr>
          <w:sz w:val="22"/>
        </w:rPr>
        <w:tab/>
      </w:r>
      <w:r w:rsidR="00FA6DF7" w:rsidRPr="001005F3">
        <w:t>6.2.</w:t>
      </w:r>
      <w:r w:rsidR="008720AE" w:rsidRPr="001005F3">
        <w:t>5</w:t>
      </w:r>
      <w:r w:rsidR="00FA6DF7" w:rsidRPr="001005F3">
        <w:t>.1.</w:t>
      </w:r>
      <w:r w:rsidR="00EE2D06" w:rsidRPr="001005F3">
        <w:t>3</w:t>
      </w:r>
    </w:p>
    <w:p w14:paraId="684B06A7" w14:textId="77777777" w:rsidR="00E90E49" w:rsidRPr="00CE0424" w:rsidRDefault="003D3C45" w:rsidP="008F2DE1">
      <w:pPr>
        <w:pStyle w:val="3GPPHeader"/>
        <w:spacing w:after="0"/>
        <w:rPr>
          <w:sz w:val="22"/>
        </w:rPr>
      </w:pPr>
      <w:r>
        <w:rPr>
          <w:sz w:val="22"/>
        </w:rPr>
        <w:t>Source:</w:t>
      </w:r>
      <w:r w:rsidR="00E90E49" w:rsidRPr="00CE0424">
        <w:rPr>
          <w:sz w:val="22"/>
        </w:rPr>
        <w:tab/>
      </w:r>
      <w:r w:rsidR="00F64C2B" w:rsidRPr="00CE0424">
        <w:rPr>
          <w:sz w:val="22"/>
        </w:rPr>
        <w:t>Ericsson</w:t>
      </w:r>
    </w:p>
    <w:p w14:paraId="214B1E52" w14:textId="6E7AB664" w:rsidR="00E90E49" w:rsidRPr="00CE0424" w:rsidRDefault="003D3C45" w:rsidP="008F2DE1">
      <w:pPr>
        <w:pStyle w:val="3GPPHeader"/>
        <w:spacing w:after="0"/>
        <w:ind w:left="1701" w:hanging="1701"/>
        <w:rPr>
          <w:sz w:val="22"/>
        </w:rPr>
      </w:pPr>
      <w:r>
        <w:rPr>
          <w:sz w:val="22"/>
        </w:rPr>
        <w:t>Title:</w:t>
      </w:r>
      <w:r w:rsidR="006B5B0F">
        <w:rPr>
          <w:sz w:val="22"/>
        </w:rPr>
        <w:tab/>
      </w:r>
      <w:r w:rsidR="00EB01DC">
        <w:rPr>
          <w:sz w:val="22"/>
        </w:rPr>
        <w:t xml:space="preserve">Spectrum considerations for </w:t>
      </w:r>
      <w:r w:rsidR="00850ECB">
        <w:rPr>
          <w:sz w:val="22"/>
        </w:rPr>
        <w:t xml:space="preserve">PC5 </w:t>
      </w:r>
      <w:r w:rsidR="00EB01DC">
        <w:rPr>
          <w:sz w:val="22"/>
        </w:rPr>
        <w:t>carrier aggregation</w:t>
      </w:r>
    </w:p>
    <w:p w14:paraId="59D6E79C" w14:textId="0B1FC2CD" w:rsidR="00E90E49" w:rsidRPr="00CE0424" w:rsidRDefault="00E90E49" w:rsidP="008F2DE1">
      <w:pPr>
        <w:pStyle w:val="3GPPHeader"/>
        <w:spacing w:after="0"/>
        <w:rPr>
          <w:sz w:val="22"/>
        </w:rPr>
      </w:pPr>
      <w:r w:rsidRPr="00CE0424">
        <w:rPr>
          <w:sz w:val="22"/>
        </w:rPr>
        <w:t>Document for:</w:t>
      </w:r>
      <w:r w:rsidRPr="00CE0424">
        <w:rPr>
          <w:sz w:val="22"/>
        </w:rPr>
        <w:tab/>
      </w:r>
      <w:r w:rsidRPr="00B466DC">
        <w:rPr>
          <w:sz w:val="22"/>
        </w:rPr>
        <w:t>Discussion</w:t>
      </w:r>
    </w:p>
    <w:p w14:paraId="65062EEC" w14:textId="77777777" w:rsidR="00E90E49" w:rsidRPr="00CE0424" w:rsidRDefault="00E90E49" w:rsidP="00CE0424">
      <w:pPr>
        <w:pStyle w:val="Heading1"/>
      </w:pPr>
      <w:r w:rsidRPr="00CE0424">
        <w:t>Introduction</w:t>
      </w:r>
      <w:bookmarkStart w:id="0" w:name="_GoBack"/>
      <w:bookmarkEnd w:id="0"/>
    </w:p>
    <w:p w14:paraId="5A1D4EB6" w14:textId="03F6910B" w:rsidR="00BA38CA" w:rsidRDefault="00BA38CA" w:rsidP="00BA38CA">
      <w:pPr>
        <w:pStyle w:val="BodyText"/>
      </w:pPr>
      <w:r>
        <w:t xml:space="preserve">The WID in </w:t>
      </w:r>
      <w:r w:rsidR="001E1681">
        <w:rPr>
          <w:highlight w:val="yellow"/>
        </w:rPr>
        <w:fldChar w:fldCharType="begin"/>
      </w:r>
      <w:r w:rsidR="001E1681">
        <w:instrText xml:space="preserve"> REF _Ref506275887 \r \h </w:instrText>
      </w:r>
      <w:r w:rsidR="001E1681">
        <w:rPr>
          <w:highlight w:val="yellow"/>
        </w:rPr>
      </w:r>
      <w:r w:rsidR="001E1681">
        <w:rPr>
          <w:highlight w:val="yellow"/>
        </w:rPr>
        <w:fldChar w:fldCharType="separate"/>
      </w:r>
      <w:r w:rsidR="001E1681">
        <w:t>[1]</w:t>
      </w:r>
      <w:r w:rsidR="001E1681">
        <w:rPr>
          <w:highlight w:val="yellow"/>
        </w:rPr>
        <w:fldChar w:fldCharType="end"/>
      </w:r>
      <w:r>
        <w:t xml:space="preserve"> has the following objective:</w:t>
      </w:r>
    </w:p>
    <w:tbl>
      <w:tblPr>
        <w:tblStyle w:val="TableGrid"/>
        <w:tblW w:w="0" w:type="auto"/>
        <w:tblLook w:val="04A0" w:firstRow="1" w:lastRow="0" w:firstColumn="1" w:lastColumn="0" w:noHBand="0" w:noVBand="1"/>
      </w:tblPr>
      <w:tblGrid>
        <w:gridCol w:w="9629"/>
      </w:tblGrid>
      <w:tr w:rsidR="00BA38CA" w14:paraId="41B0F35E" w14:textId="77777777" w:rsidTr="00AC7DA7">
        <w:tc>
          <w:tcPr>
            <w:tcW w:w="9629" w:type="dxa"/>
          </w:tcPr>
          <w:p w14:paraId="31617DAD" w14:textId="77777777" w:rsidR="00BA38CA" w:rsidRDefault="00BA38CA" w:rsidP="00AC7DA7">
            <w:pPr>
              <w:spacing w:before="240"/>
              <w:rPr>
                <w:rFonts w:ascii="Times New Roman" w:hAnsi="Times New Roman"/>
              </w:rPr>
            </w:pPr>
            <w:r>
              <w:t>The detailed objectives of this work item are as follows:</w:t>
            </w:r>
          </w:p>
          <w:p w14:paraId="041F1C5C" w14:textId="77777777" w:rsidR="00BA38CA" w:rsidRDefault="00BA38CA" w:rsidP="00AC7DA7">
            <w:pPr>
              <w:numPr>
                <w:ilvl w:val="0"/>
                <w:numId w:val="16"/>
              </w:numPr>
              <w:spacing w:after="180"/>
            </w:pPr>
            <w:r>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14:paraId="388FA5FA" w14:textId="77777777" w:rsidR="00BA38CA" w:rsidRDefault="00BA38CA" w:rsidP="00AC7DA7">
            <w:pPr>
              <w:numPr>
                <w:ilvl w:val="1"/>
                <w:numId w:val="16"/>
              </w:numPr>
              <w:spacing w:after="180"/>
            </w:pPr>
            <w:r>
              <w:t>Carrier aggregation (up to 8 PC5 carriers);</w:t>
            </w:r>
          </w:p>
          <w:p w14:paraId="79DF3644" w14:textId="77777777" w:rsidR="00BA38CA" w:rsidRDefault="00BA38CA" w:rsidP="00AC7DA7">
            <w:pPr>
              <w:numPr>
                <w:ilvl w:val="1"/>
                <w:numId w:val="16"/>
              </w:numPr>
              <w:spacing w:after="180"/>
            </w:pPr>
            <w:r>
              <w:t>64QAM;</w:t>
            </w:r>
          </w:p>
          <w:p w14:paraId="0331D5BA" w14:textId="77777777" w:rsidR="00BA38CA" w:rsidRDefault="00BA38CA" w:rsidP="00AC7DA7">
            <w:pPr>
              <w:numPr>
                <w:ilvl w:val="1"/>
                <w:numId w:val="16"/>
              </w:numPr>
              <w:spacing w:after="180"/>
            </w:pPr>
            <w:r>
              <w:t>Reduce the maximum time between packet arrival at Layer 1 and resource selected for transmission;</w:t>
            </w:r>
          </w:p>
          <w:p w14:paraId="29E10056" w14:textId="77777777" w:rsidR="00BA38CA" w:rsidRDefault="00BA38CA" w:rsidP="00E660FC">
            <w:pPr>
              <w:numPr>
                <w:ilvl w:val="1"/>
                <w:numId w:val="16"/>
              </w:numPr>
              <w:spacing w:after="0"/>
            </w:pPr>
            <w:r>
              <w:t>Radio resource pool sharing between UEs using mode 3 and UEs using mode 4;</w:t>
            </w:r>
          </w:p>
          <w:p w14:paraId="37D6ACD3" w14:textId="77777777" w:rsidR="00BA38CA" w:rsidRDefault="00BA38CA" w:rsidP="00AC7DA7">
            <w:pPr>
              <w:pStyle w:val="BodyText"/>
            </w:pPr>
          </w:p>
        </w:tc>
      </w:tr>
    </w:tbl>
    <w:p w14:paraId="62E9BD6C" w14:textId="46FE53E3" w:rsidR="00BA38CA" w:rsidRPr="008C3641" w:rsidRDefault="001E1681" w:rsidP="00A76C68">
      <w:pPr>
        <w:pStyle w:val="BodyText"/>
        <w:spacing w:before="240"/>
      </w:pPr>
      <w:r w:rsidRPr="008C3641">
        <w:t>In this contribution, we discuss some aspects related to intra-band carrier aggregation and to operation on some existing spectrum designations.</w:t>
      </w:r>
    </w:p>
    <w:p w14:paraId="5925009D" w14:textId="575719D7" w:rsidR="004000E8" w:rsidRDefault="00494F17" w:rsidP="00CE0424">
      <w:pPr>
        <w:pStyle w:val="Heading1"/>
      </w:pPr>
      <w:r>
        <w:t>Synchronization references</w:t>
      </w:r>
    </w:p>
    <w:p w14:paraId="75BAF57F" w14:textId="44301473" w:rsidR="00EB01DC" w:rsidRDefault="00856567" w:rsidP="008C64AA">
      <w:pPr>
        <w:jc w:val="both"/>
      </w:pPr>
      <w:r>
        <w:t xml:space="preserve">During Release 14, an important part of the specification work targeted the ITS band at 5.9 GHz, in particular the work by RAN4. The ITS band is partitioned in 10 and 20 MHz channels in a region-specific manner. In the EU, only 10 MHz channels are considered. In contrast, in the US overlapping 10 and 20 MHz channels have been defined. </w:t>
      </w:r>
      <w:r w:rsidR="00EB01DC">
        <w:t>In this section, we describe two issues that affect LTE transmission in multiple ITS c</w:t>
      </w:r>
      <w:r w:rsidR="00835908">
        <w:t>h</w:t>
      </w:r>
      <w:r w:rsidR="00EB01DC">
        <w:t>annels.</w:t>
      </w:r>
    </w:p>
    <w:p w14:paraId="10C9F3AF" w14:textId="30FE2899" w:rsidR="00856567" w:rsidRDefault="00FB3BFC" w:rsidP="00856567">
      <w:pPr>
        <w:pStyle w:val="Heading2"/>
      </w:pPr>
      <w:r>
        <w:t>Intra-band a</w:t>
      </w:r>
      <w:r w:rsidR="00856567">
        <w:t>ggregation of 10</w:t>
      </w:r>
      <w:r w:rsidR="00F21297">
        <w:t xml:space="preserve"> MHz</w:t>
      </w:r>
      <w:r w:rsidR="00856567">
        <w:t xml:space="preserve"> + 10 MHz carriers</w:t>
      </w:r>
    </w:p>
    <w:p w14:paraId="0785D15C" w14:textId="5D8334D0" w:rsidR="00807314" w:rsidRDefault="00FB3BFC" w:rsidP="00C40B2C">
      <w:pPr>
        <w:jc w:val="both"/>
      </w:pPr>
      <w:r>
        <w:t xml:space="preserve">In LTE, the intra-band aggregation of two carriers requires that the center frequencies are separated by a multiple of 300 kHz, which is the least common multiple of 15 kHz (subcarriers spacing) and 100 kHz (frequency raster spacing). </w:t>
      </w:r>
      <w:r w:rsidR="00807314">
        <w:t>Using a multiple of 15 kHz allows for using a singer FFT module at the transmitter/receiver, which is interesting from a cost and hardware complexity point of view.</w:t>
      </w:r>
    </w:p>
    <w:p w14:paraId="62C95B15" w14:textId="7EA18D09" w:rsidR="00807314" w:rsidRDefault="00062737" w:rsidP="00807314">
      <w:r>
        <w:t>Unfortunately</w:t>
      </w:r>
      <w:r w:rsidR="00807314">
        <w:t xml:space="preserve">, the center frequencies of two contiguous ITS carriers are separated by 10 MHz, which is not a multiple of 15 kHz. This </w:t>
      </w:r>
      <w:r w:rsidR="00B84A54">
        <w:t>may complicate UE designs with a single FFT module.</w:t>
      </w:r>
    </w:p>
    <w:p w14:paraId="6112DBA7" w14:textId="763FF995" w:rsidR="00807314" w:rsidRDefault="00B84A54" w:rsidP="00B84A54">
      <w:pPr>
        <w:pStyle w:val="Observation"/>
        <w:numPr>
          <w:ilvl w:val="0"/>
          <w:numId w:val="29"/>
        </w:numPr>
        <w:ind w:left="1701" w:hanging="1701"/>
      </w:pPr>
      <w:r w:rsidRPr="00B84A54">
        <w:lastRenderedPageBreak/>
        <w:t>ITS carriers are separated by multiples of 10 MHz, which is not an integer a multiple of 15 kHz. This mismatch may complicate UE designs with a  single FFT module.</w:t>
      </w:r>
      <w:r w:rsidR="00807314">
        <w:t xml:space="preserve"> </w:t>
      </w:r>
    </w:p>
    <w:p w14:paraId="5010E09C" w14:textId="7E5351FF" w:rsidR="00856567" w:rsidRDefault="00856567" w:rsidP="00856567">
      <w:pPr>
        <w:pStyle w:val="Heading2"/>
      </w:pPr>
      <w:r>
        <w:t>LTE transmissions o</w:t>
      </w:r>
      <w:r w:rsidR="000D30C8">
        <w:t xml:space="preserve">n overlaid 10 </w:t>
      </w:r>
      <w:r w:rsidR="00F849DB">
        <w:t xml:space="preserve">MHz </w:t>
      </w:r>
      <w:r w:rsidR="000D30C8">
        <w:t>and 20 MHz ITS channels</w:t>
      </w:r>
    </w:p>
    <w:p w14:paraId="438743B8" w14:textId="401F5D60" w:rsidR="00856567" w:rsidRPr="00856567" w:rsidRDefault="00021285" w:rsidP="00DD69E1">
      <w:pPr>
        <w:jc w:val="both"/>
      </w:pPr>
      <w:r>
        <w:t xml:space="preserve">As described before, in some regions the spectrum designations define an overlay of 10 </w:t>
      </w:r>
      <w:r w:rsidR="00094FBB">
        <w:t xml:space="preserve">MHz </w:t>
      </w:r>
      <w:r>
        <w:t xml:space="preserve">and </w:t>
      </w:r>
      <w:r w:rsidR="000D30C8">
        <w:t xml:space="preserve">20 </w:t>
      </w:r>
      <w:r>
        <w:t xml:space="preserve">MHz channels in the same band. </w:t>
      </w:r>
      <w:r w:rsidR="000D30C8">
        <w:t xml:space="preserve">In that case, </w:t>
      </w:r>
      <w:r>
        <w:t xml:space="preserve">20 MHz may be </w:t>
      </w:r>
      <w:r w:rsidR="000D30C8">
        <w:t>regarded</w:t>
      </w:r>
      <w:r>
        <w:t xml:space="preserve"> as a pair of 10 MHz channels or as a single 20 MHz channel. </w:t>
      </w:r>
      <w:r w:rsidR="000D30C8">
        <w:t>For such spectrum designations, t</w:t>
      </w:r>
      <w:r>
        <w:t xml:space="preserve">he fact that 10 MHz is not a multiple of 15 kHz </w:t>
      </w:r>
      <w:r w:rsidR="000D30C8">
        <w:t>(the LTE subcarrier spacing) poses a problem. It is not possible to use LTE V2V</w:t>
      </w:r>
      <w:r>
        <w:t xml:space="preserve"> to access </w:t>
      </w:r>
      <w:r w:rsidR="000D30C8">
        <w:t>as both a</w:t>
      </w:r>
      <w:r>
        <w:t xml:space="preserve"> 20 MHz</w:t>
      </w:r>
      <w:r w:rsidR="000D30C8">
        <w:t xml:space="preserve"> channel</w:t>
      </w:r>
      <w:r>
        <w:t xml:space="preserve"> and as 2x10 MHz channel</w:t>
      </w:r>
      <w:r w:rsidR="000D30C8">
        <w:t>s</w:t>
      </w:r>
      <w:r>
        <w:t xml:space="preserve">. </w:t>
      </w:r>
      <w:r w:rsidR="000D30C8">
        <w:t>In other words</w:t>
      </w:r>
      <w:r>
        <w:t xml:space="preserve">, </w:t>
      </w:r>
      <w:r w:rsidR="00EB01DC">
        <w:t xml:space="preserve">it is not possible to have </w:t>
      </w:r>
      <w:r>
        <w:t>some UEs access the individual 10 MHz channels while other UEs access the 20 MHz channel</w:t>
      </w:r>
      <w:r w:rsidR="000D30C8">
        <w:t xml:space="preserve"> without creating harmful interference to each other.</w:t>
      </w:r>
    </w:p>
    <w:p w14:paraId="10EE33D0" w14:textId="6F11E098" w:rsidR="000F57A2" w:rsidRDefault="000F57A2" w:rsidP="00856567">
      <w:pPr>
        <w:pStyle w:val="Observation"/>
        <w:numPr>
          <w:ilvl w:val="0"/>
          <w:numId w:val="29"/>
        </w:numPr>
        <w:ind w:left="1701" w:hanging="1701"/>
      </w:pPr>
      <w:r>
        <w:t xml:space="preserve">Simultaneous operation on both 10 and </w:t>
      </w:r>
      <w:r w:rsidR="006D23AC">
        <w:t xml:space="preserve">20 </w:t>
      </w:r>
      <w:r>
        <w:t>MHz overla</w:t>
      </w:r>
      <w:r w:rsidR="006D23AC">
        <w:t>id</w:t>
      </w:r>
      <w:r>
        <w:t xml:space="preserve"> ITS channels is not possible with LTE V2V.</w:t>
      </w:r>
    </w:p>
    <w:p w14:paraId="2C1B6BD4" w14:textId="77777777" w:rsidR="00C01F33" w:rsidRPr="00CE0424" w:rsidRDefault="00C01F33" w:rsidP="00CE0424">
      <w:pPr>
        <w:pStyle w:val="Heading1"/>
      </w:pPr>
      <w:r w:rsidRPr="00CE0424">
        <w:t>Conclusion</w:t>
      </w:r>
    </w:p>
    <w:p w14:paraId="7558A9B6" w14:textId="3DBCE3E1" w:rsidR="008E065E" w:rsidRDefault="00C6609B" w:rsidP="008E065E">
      <w:pPr>
        <w:pStyle w:val="BodyText"/>
        <w:rPr>
          <w:noProof/>
        </w:rPr>
      </w:pPr>
      <w:r>
        <w:t>In this paper we have observed the following</w:t>
      </w:r>
      <w:r w:rsidR="008E065E" w:rsidRPr="00CE0424">
        <w:t>:</w:t>
      </w:r>
      <w:r w:rsidR="008E065E">
        <w:rPr>
          <w:rFonts w:cs="Times New Roman"/>
          <w:b/>
          <w:bCs/>
          <w:sz w:val="20"/>
          <w:szCs w:val="20"/>
        </w:rPr>
        <w:fldChar w:fldCharType="begin"/>
      </w:r>
      <w:r w:rsidR="008E065E">
        <w:rPr>
          <w:b/>
          <w:bCs/>
        </w:rPr>
        <w:instrText xml:space="preserve"> TOC \f \n \p " " \t "Proposal;1" </w:instrText>
      </w:r>
      <w:r w:rsidR="008E065E">
        <w:rPr>
          <w:rFonts w:cs="Times New Roman"/>
          <w:b/>
          <w:bCs/>
          <w:sz w:val="20"/>
          <w:szCs w:val="20"/>
        </w:rPr>
        <w:fldChar w:fldCharType="separate"/>
      </w:r>
    </w:p>
    <w:p w14:paraId="6B99C12D" w14:textId="77777777" w:rsidR="00067766" w:rsidRDefault="00067766" w:rsidP="00067766">
      <w:pPr>
        <w:pStyle w:val="Observation"/>
        <w:numPr>
          <w:ilvl w:val="0"/>
          <w:numId w:val="31"/>
        </w:numPr>
        <w:ind w:left="1701" w:hanging="1701"/>
      </w:pPr>
      <w:r w:rsidRPr="00B84A54">
        <w:t>ITS carriers are separated by multiples of 10 MHz, which is not an integer a multiple of 15 kHz. This mismatch may complicate UE designs with a  single FFT module.</w:t>
      </w:r>
      <w:r>
        <w:t xml:space="preserve"> </w:t>
      </w:r>
    </w:p>
    <w:p w14:paraId="31A30168" w14:textId="77777777" w:rsidR="006D23AC" w:rsidRDefault="006D23AC" w:rsidP="006D23AC">
      <w:pPr>
        <w:pStyle w:val="Observation"/>
        <w:numPr>
          <w:ilvl w:val="0"/>
          <w:numId w:val="31"/>
        </w:numPr>
        <w:ind w:left="1701" w:hanging="1701"/>
      </w:pPr>
      <w:r>
        <w:t>Simultaneous operation on both 10 and 20 MHz overlaid ITS channels is not possible with LTE V2V.</w:t>
      </w:r>
    </w:p>
    <w:p w14:paraId="57B73A36" w14:textId="35D63520" w:rsidR="00F507D1" w:rsidRPr="00CE0424" w:rsidRDefault="008E065E" w:rsidP="00CE0424">
      <w:pPr>
        <w:pStyle w:val="Heading1"/>
      </w:pPr>
      <w:r>
        <w:rPr>
          <w:b/>
          <w:bCs/>
        </w:rPr>
        <w:fldChar w:fldCharType="end"/>
      </w:r>
      <w:bookmarkStart w:id="1" w:name="_In-sequence_SDU_delivery"/>
      <w:bookmarkEnd w:id="1"/>
      <w:r w:rsidR="00F507D1" w:rsidRPr="00CE0424">
        <w:t>References</w:t>
      </w:r>
    </w:p>
    <w:p w14:paraId="53AFCF4D" w14:textId="77777777" w:rsidR="001E1681" w:rsidRPr="00555287" w:rsidRDefault="001E1681" w:rsidP="001E1681">
      <w:pPr>
        <w:pStyle w:val="ListParagraph"/>
        <w:numPr>
          <w:ilvl w:val="0"/>
          <w:numId w:val="32"/>
        </w:numPr>
        <w:spacing w:after="0"/>
        <w:ind w:left="567" w:hanging="425"/>
        <w:contextualSpacing w:val="0"/>
        <w:rPr>
          <w:rFonts w:ascii="Times New Roman" w:hAnsi="Times New Roman"/>
          <w:color w:val="312E25"/>
          <w:lang w:eastAsia="sv-SE"/>
        </w:rPr>
      </w:pPr>
      <w:bookmarkStart w:id="2" w:name="_Ref506206145"/>
      <w:bookmarkStart w:id="3" w:name="_Ref506275887"/>
      <w:bookmarkStart w:id="4" w:name="_Ref477334379"/>
      <w:r w:rsidRPr="000D5279">
        <w:rPr>
          <w:rFonts w:ascii="Times New Roman" w:hAnsi="Times New Roman"/>
          <w:color w:val="312E25"/>
          <w:lang w:eastAsia="sv-SE"/>
        </w:rPr>
        <w:t>RP-171740</w:t>
      </w:r>
      <w:bookmarkEnd w:id="2"/>
      <w:r>
        <w:rPr>
          <w:rFonts w:ascii="Times New Roman" w:hAnsi="Times New Roman"/>
          <w:color w:val="312E25"/>
          <w:lang w:eastAsia="sv-SE"/>
        </w:rPr>
        <w:t>, “</w:t>
      </w:r>
      <w:r w:rsidRPr="000D5279" w:rsidDel="00B93377">
        <w:rPr>
          <w:rFonts w:ascii="Times New Roman" w:hAnsi="Times New Roman"/>
          <w:color w:val="312E25"/>
          <w:lang w:eastAsia="sv-SE"/>
        </w:rPr>
        <w:t xml:space="preserve"> </w:t>
      </w:r>
      <w:r w:rsidRPr="00D22E34">
        <w:rPr>
          <w:rFonts w:ascii="Times New Roman" w:hAnsi="Times New Roman"/>
          <w:color w:val="312E25"/>
          <w:lang w:eastAsia="sv-SE"/>
        </w:rPr>
        <w:t>Revision of WID:V2X phase 2 based on LTE</w:t>
      </w:r>
      <w:r>
        <w:rPr>
          <w:rFonts w:ascii="Times New Roman" w:hAnsi="Times New Roman"/>
          <w:color w:val="312E25"/>
          <w:lang w:eastAsia="sv-SE"/>
        </w:rPr>
        <w:t>”</w:t>
      </w:r>
      <w:bookmarkEnd w:id="3"/>
      <w:r w:rsidRPr="00D14502" w:rsidDel="00B93377">
        <w:rPr>
          <w:rFonts w:ascii="Times New Roman" w:hAnsi="Times New Roman"/>
          <w:color w:val="312E25"/>
          <w:lang w:eastAsia="sv-SE"/>
        </w:rPr>
        <w:t xml:space="preserve"> </w:t>
      </w:r>
    </w:p>
    <w:bookmarkEnd w:id="4"/>
    <w:p w14:paraId="554394FC" w14:textId="48478D12" w:rsidR="00492C09" w:rsidRPr="00CE0424" w:rsidRDefault="00492C09" w:rsidP="00DC3A53">
      <w:pPr>
        <w:pStyle w:val="BodyText"/>
        <w:ind w:left="432" w:hanging="432"/>
      </w:pPr>
    </w:p>
    <w:sectPr w:rsidR="00492C09"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2744B" w14:textId="77777777" w:rsidR="00B214B6" w:rsidRDefault="00B214B6">
      <w:r>
        <w:separator/>
      </w:r>
    </w:p>
  </w:endnote>
  <w:endnote w:type="continuationSeparator" w:id="0">
    <w:p w14:paraId="212CB0EF" w14:textId="77777777" w:rsidR="00B214B6" w:rsidRDefault="00B21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F4632" w14:textId="77777777" w:rsidR="00B214B6" w:rsidRDefault="00B214B6">
      <w:r>
        <w:separator/>
      </w:r>
    </w:p>
  </w:footnote>
  <w:footnote w:type="continuationSeparator" w:id="0">
    <w:p w14:paraId="20186FEC" w14:textId="77777777" w:rsidR="00B214B6" w:rsidRDefault="00B214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FA116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F4CB9B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8B0BF64"/>
    <w:lvl w:ilvl="0">
      <w:start w:val="1"/>
      <w:numFmt w:val="decimal"/>
      <w:lvlText w:val="%1."/>
      <w:lvlJc w:val="left"/>
      <w:pPr>
        <w:tabs>
          <w:tab w:val="num" w:pos="926"/>
        </w:tabs>
        <w:ind w:left="926" w:hanging="360"/>
      </w:pPr>
    </w:lvl>
  </w:abstractNum>
  <w:abstractNum w:abstractNumId="4" w15:restartNumberingAfterBreak="0">
    <w:nsid w:val="015E2EF7"/>
    <w:multiLevelType w:val="hybridMultilevel"/>
    <w:tmpl w:val="7C623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1051DB"/>
    <w:multiLevelType w:val="hybridMultilevel"/>
    <w:tmpl w:val="EE1C3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B00D20"/>
    <w:multiLevelType w:val="hybridMultilevel"/>
    <w:tmpl w:val="8EFAB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352CF86"/>
    <w:lvl w:ilvl="0" w:tplc="D8722F68">
      <w:start w:val="1"/>
      <w:numFmt w:val="decimal"/>
      <w:pStyle w:val="Proposal"/>
      <w:lvlText w:val="Proposal %1"/>
      <w:lvlJc w:val="left"/>
      <w:pPr>
        <w:tabs>
          <w:tab w:val="num" w:pos="1304"/>
        </w:tabs>
        <w:ind w:left="1304" w:hanging="130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481C2E98"/>
    <w:multiLevelType w:val="hybridMultilevel"/>
    <w:tmpl w:val="5600A9F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002B11"/>
    <w:multiLevelType w:val="hybridMultilevel"/>
    <w:tmpl w:val="47E8EE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52D97"/>
    <w:multiLevelType w:val="hybridMultilevel"/>
    <w:tmpl w:val="6AB40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C802846A"/>
    <w:lvl w:ilvl="0" w:tplc="717E5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26B4B5B"/>
    <w:multiLevelType w:val="hybridMultilevel"/>
    <w:tmpl w:val="547CA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CDB3CCA"/>
    <w:multiLevelType w:val="hybridMultilevel"/>
    <w:tmpl w:val="B852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2"/>
  </w:num>
  <w:num w:numId="4">
    <w:abstractNumId w:val="13"/>
  </w:num>
  <w:num w:numId="5">
    <w:abstractNumId w:val="10"/>
  </w:num>
  <w:num w:numId="6">
    <w:abstractNumId w:val="15"/>
  </w:num>
  <w:num w:numId="7">
    <w:abstractNumId w:val="23"/>
  </w:num>
  <w:num w:numId="8">
    <w:abstractNumId w:val="11"/>
  </w:num>
  <w:num w:numId="9">
    <w:abstractNumId w:val="9"/>
  </w:num>
  <w:num w:numId="10">
    <w:abstractNumId w:val="3"/>
  </w:num>
  <w:num w:numId="11">
    <w:abstractNumId w:val="2"/>
  </w:num>
  <w:num w:numId="12">
    <w:abstractNumId w:val="1"/>
  </w:num>
  <w:num w:numId="13">
    <w:abstractNumId w:val="21"/>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2"/>
  </w:num>
  <w:num w:numId="19">
    <w:abstractNumId w:val="20"/>
  </w:num>
  <w:num w:numId="20">
    <w:abstractNumId w:val="27"/>
  </w:num>
  <w:num w:numId="21">
    <w:abstractNumId w:val="8"/>
  </w:num>
  <w:num w:numId="22">
    <w:abstractNumId w:val="25"/>
  </w:num>
  <w:num w:numId="23">
    <w:abstractNumId w:val="19"/>
  </w:num>
  <w:num w:numId="24">
    <w:abstractNumId w:val="6"/>
  </w:num>
  <w:num w:numId="25">
    <w:abstractNumId w:val="4"/>
  </w:num>
  <w:num w:numId="26">
    <w:abstractNumId w:val="26"/>
  </w:num>
  <w:num w:numId="27">
    <w:abstractNumId w:val="7"/>
  </w:num>
  <w:num w:numId="28">
    <w:abstractNumId w:val="17"/>
  </w:num>
  <w:num w:numId="29">
    <w:abstractNumId w:val="21"/>
    <w:lvlOverride w:ilvl="0">
      <w:startOverride w:val="1"/>
    </w:lvlOverride>
  </w:num>
  <w:num w:numId="30">
    <w:abstractNumId w:val="12"/>
    <w:lvlOverride w:ilvl="0">
      <w:startOverride w:val="1"/>
    </w:lvlOverride>
  </w:num>
  <w:num w:numId="31">
    <w:abstractNumId w:val="21"/>
    <w:lvlOverride w:ilvl="0">
      <w:startOverride w:val="1"/>
    </w:lvlOverride>
  </w:num>
  <w:num w:numId="3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5D15"/>
    <w:rsid w:val="00021285"/>
    <w:rsid w:val="0002531D"/>
    <w:rsid w:val="0002564D"/>
    <w:rsid w:val="00025ECA"/>
    <w:rsid w:val="000325B8"/>
    <w:rsid w:val="000345A0"/>
    <w:rsid w:val="00034C15"/>
    <w:rsid w:val="00036BA1"/>
    <w:rsid w:val="000422E2"/>
    <w:rsid w:val="00042F22"/>
    <w:rsid w:val="000444EF"/>
    <w:rsid w:val="0004742A"/>
    <w:rsid w:val="00052A07"/>
    <w:rsid w:val="000534E3"/>
    <w:rsid w:val="0005606A"/>
    <w:rsid w:val="00057117"/>
    <w:rsid w:val="000616E7"/>
    <w:rsid w:val="00062737"/>
    <w:rsid w:val="0006310C"/>
    <w:rsid w:val="0006487E"/>
    <w:rsid w:val="00065E1A"/>
    <w:rsid w:val="00067766"/>
    <w:rsid w:val="00073EE8"/>
    <w:rsid w:val="00077E5F"/>
    <w:rsid w:val="0008036A"/>
    <w:rsid w:val="00081AE6"/>
    <w:rsid w:val="000855EB"/>
    <w:rsid w:val="00085B52"/>
    <w:rsid w:val="000866F2"/>
    <w:rsid w:val="0009009F"/>
    <w:rsid w:val="00091557"/>
    <w:rsid w:val="000924C1"/>
    <w:rsid w:val="000924F0"/>
    <w:rsid w:val="00093474"/>
    <w:rsid w:val="00094FBB"/>
    <w:rsid w:val="0009510F"/>
    <w:rsid w:val="000A1B7B"/>
    <w:rsid w:val="000A56F2"/>
    <w:rsid w:val="000B2719"/>
    <w:rsid w:val="000B3A8F"/>
    <w:rsid w:val="000B4AB9"/>
    <w:rsid w:val="000B58C3"/>
    <w:rsid w:val="000B61E9"/>
    <w:rsid w:val="000C165A"/>
    <w:rsid w:val="000C1A48"/>
    <w:rsid w:val="000C2E19"/>
    <w:rsid w:val="000C4D29"/>
    <w:rsid w:val="000D0D07"/>
    <w:rsid w:val="000D1EED"/>
    <w:rsid w:val="000D30C8"/>
    <w:rsid w:val="000D4797"/>
    <w:rsid w:val="000E0527"/>
    <w:rsid w:val="000E0690"/>
    <w:rsid w:val="000E1E92"/>
    <w:rsid w:val="000F06D6"/>
    <w:rsid w:val="000F0EB1"/>
    <w:rsid w:val="000F1106"/>
    <w:rsid w:val="000F3BE9"/>
    <w:rsid w:val="000F3F6C"/>
    <w:rsid w:val="000F57A2"/>
    <w:rsid w:val="000F6DF3"/>
    <w:rsid w:val="001005F3"/>
    <w:rsid w:val="001005FF"/>
    <w:rsid w:val="001062FB"/>
    <w:rsid w:val="001063E6"/>
    <w:rsid w:val="00111BF2"/>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0766"/>
    <w:rsid w:val="00173A8E"/>
    <w:rsid w:val="00177795"/>
    <w:rsid w:val="0018143F"/>
    <w:rsid w:val="001903C7"/>
    <w:rsid w:val="00190AC1"/>
    <w:rsid w:val="0019341A"/>
    <w:rsid w:val="00197DF9"/>
    <w:rsid w:val="001A1987"/>
    <w:rsid w:val="001A2564"/>
    <w:rsid w:val="001A6173"/>
    <w:rsid w:val="001A6CBA"/>
    <w:rsid w:val="001B0D97"/>
    <w:rsid w:val="001B3D65"/>
    <w:rsid w:val="001B5A5D"/>
    <w:rsid w:val="001C182F"/>
    <w:rsid w:val="001C1CE5"/>
    <w:rsid w:val="001C3D2A"/>
    <w:rsid w:val="001D51BA"/>
    <w:rsid w:val="001D6342"/>
    <w:rsid w:val="001D6D53"/>
    <w:rsid w:val="001E1681"/>
    <w:rsid w:val="001E58E2"/>
    <w:rsid w:val="001E7AED"/>
    <w:rsid w:val="001F3916"/>
    <w:rsid w:val="001F3B8C"/>
    <w:rsid w:val="001F54C5"/>
    <w:rsid w:val="001F662C"/>
    <w:rsid w:val="001F7074"/>
    <w:rsid w:val="00200490"/>
    <w:rsid w:val="00201F3A"/>
    <w:rsid w:val="00203F96"/>
    <w:rsid w:val="002069B2"/>
    <w:rsid w:val="00207FA3"/>
    <w:rsid w:val="0021461F"/>
    <w:rsid w:val="00214DA8"/>
    <w:rsid w:val="00215423"/>
    <w:rsid w:val="002158FA"/>
    <w:rsid w:val="00220600"/>
    <w:rsid w:val="002224DB"/>
    <w:rsid w:val="00223FCB"/>
    <w:rsid w:val="002252C3"/>
    <w:rsid w:val="00225C54"/>
    <w:rsid w:val="00230765"/>
    <w:rsid w:val="002319E4"/>
    <w:rsid w:val="00233E7A"/>
    <w:rsid w:val="00235632"/>
    <w:rsid w:val="00235872"/>
    <w:rsid w:val="00241559"/>
    <w:rsid w:val="002435B3"/>
    <w:rsid w:val="002458EB"/>
    <w:rsid w:val="00247DD7"/>
    <w:rsid w:val="002500C8"/>
    <w:rsid w:val="002546AE"/>
    <w:rsid w:val="00257155"/>
    <w:rsid w:val="00257543"/>
    <w:rsid w:val="00260FDC"/>
    <w:rsid w:val="002617E7"/>
    <w:rsid w:val="00264228"/>
    <w:rsid w:val="00264334"/>
    <w:rsid w:val="0026473E"/>
    <w:rsid w:val="00266214"/>
    <w:rsid w:val="00267C83"/>
    <w:rsid w:val="0027144F"/>
    <w:rsid w:val="00271F3A"/>
    <w:rsid w:val="00273278"/>
    <w:rsid w:val="002737F4"/>
    <w:rsid w:val="002805F5"/>
    <w:rsid w:val="00280751"/>
    <w:rsid w:val="0028280A"/>
    <w:rsid w:val="00283D64"/>
    <w:rsid w:val="002867E8"/>
    <w:rsid w:val="00286ACD"/>
    <w:rsid w:val="00287838"/>
    <w:rsid w:val="002907B5"/>
    <w:rsid w:val="00292EB7"/>
    <w:rsid w:val="00296227"/>
    <w:rsid w:val="00296F44"/>
    <w:rsid w:val="0029777D"/>
    <w:rsid w:val="002A055E"/>
    <w:rsid w:val="002A1D4E"/>
    <w:rsid w:val="002A2869"/>
    <w:rsid w:val="002B24D6"/>
    <w:rsid w:val="002B61F9"/>
    <w:rsid w:val="002C41E6"/>
    <w:rsid w:val="002C5BA4"/>
    <w:rsid w:val="002D071A"/>
    <w:rsid w:val="002D2BA4"/>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2172"/>
    <w:rsid w:val="00370E47"/>
    <w:rsid w:val="00373E6B"/>
    <w:rsid w:val="003742AC"/>
    <w:rsid w:val="00374664"/>
    <w:rsid w:val="00377CE1"/>
    <w:rsid w:val="00385BF0"/>
    <w:rsid w:val="003939FF"/>
    <w:rsid w:val="003A2223"/>
    <w:rsid w:val="003A2A0F"/>
    <w:rsid w:val="003A45A1"/>
    <w:rsid w:val="003A5B0A"/>
    <w:rsid w:val="003A6BAC"/>
    <w:rsid w:val="003A7EF3"/>
    <w:rsid w:val="003B159C"/>
    <w:rsid w:val="003B369F"/>
    <w:rsid w:val="003B36A3"/>
    <w:rsid w:val="003B7666"/>
    <w:rsid w:val="003B7FE5"/>
    <w:rsid w:val="003C11C8"/>
    <w:rsid w:val="003C2702"/>
    <w:rsid w:val="003C7806"/>
    <w:rsid w:val="003D109F"/>
    <w:rsid w:val="003D2478"/>
    <w:rsid w:val="003D3C45"/>
    <w:rsid w:val="003D5B1F"/>
    <w:rsid w:val="003E15FA"/>
    <w:rsid w:val="003E4275"/>
    <w:rsid w:val="003E55E4"/>
    <w:rsid w:val="003E74E3"/>
    <w:rsid w:val="003F05C7"/>
    <w:rsid w:val="003F14F2"/>
    <w:rsid w:val="003F2CD4"/>
    <w:rsid w:val="003F6BBE"/>
    <w:rsid w:val="004000E8"/>
    <w:rsid w:val="00400778"/>
    <w:rsid w:val="00402E2B"/>
    <w:rsid w:val="0040512B"/>
    <w:rsid w:val="00405CA5"/>
    <w:rsid w:val="00407CD3"/>
    <w:rsid w:val="00407F34"/>
    <w:rsid w:val="00410134"/>
    <w:rsid w:val="00410B72"/>
    <w:rsid w:val="00410ECC"/>
    <w:rsid w:val="00410F18"/>
    <w:rsid w:val="0041263E"/>
    <w:rsid w:val="00413AAC"/>
    <w:rsid w:val="00421105"/>
    <w:rsid w:val="004242F4"/>
    <w:rsid w:val="00424D4C"/>
    <w:rsid w:val="00427248"/>
    <w:rsid w:val="00437447"/>
    <w:rsid w:val="00441A92"/>
    <w:rsid w:val="00441F90"/>
    <w:rsid w:val="00444F56"/>
    <w:rsid w:val="00446488"/>
    <w:rsid w:val="0045109F"/>
    <w:rsid w:val="004517AA"/>
    <w:rsid w:val="00452CAC"/>
    <w:rsid w:val="00457565"/>
    <w:rsid w:val="00457B71"/>
    <w:rsid w:val="004669E2"/>
    <w:rsid w:val="00470C31"/>
    <w:rsid w:val="004734D0"/>
    <w:rsid w:val="0047556B"/>
    <w:rsid w:val="00477768"/>
    <w:rsid w:val="00484F96"/>
    <w:rsid w:val="00492BC5"/>
    <w:rsid w:val="00492C09"/>
    <w:rsid w:val="00494F17"/>
    <w:rsid w:val="004964F1"/>
    <w:rsid w:val="004A16BC"/>
    <w:rsid w:val="004A2B94"/>
    <w:rsid w:val="004A4BBE"/>
    <w:rsid w:val="004B7C0C"/>
    <w:rsid w:val="004C0124"/>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3BB"/>
    <w:rsid w:val="00532CEB"/>
    <w:rsid w:val="00534B59"/>
    <w:rsid w:val="00536759"/>
    <w:rsid w:val="00537C62"/>
    <w:rsid w:val="00546970"/>
    <w:rsid w:val="00547F4D"/>
    <w:rsid w:val="00550419"/>
    <w:rsid w:val="00554E19"/>
    <w:rsid w:val="00560A1D"/>
    <w:rsid w:val="0056121F"/>
    <w:rsid w:val="00572505"/>
    <w:rsid w:val="00582809"/>
    <w:rsid w:val="0058798C"/>
    <w:rsid w:val="005900FA"/>
    <w:rsid w:val="005935A4"/>
    <w:rsid w:val="005948C2"/>
    <w:rsid w:val="00595DCA"/>
    <w:rsid w:val="0059779B"/>
    <w:rsid w:val="005A1488"/>
    <w:rsid w:val="005A209A"/>
    <w:rsid w:val="005A662D"/>
    <w:rsid w:val="005B35D7"/>
    <w:rsid w:val="005B392A"/>
    <w:rsid w:val="005B3AA3"/>
    <w:rsid w:val="005B6F83"/>
    <w:rsid w:val="005C609D"/>
    <w:rsid w:val="005C74FB"/>
    <w:rsid w:val="005D1602"/>
    <w:rsid w:val="005D1FA3"/>
    <w:rsid w:val="005D4207"/>
    <w:rsid w:val="005E385F"/>
    <w:rsid w:val="005E5B81"/>
    <w:rsid w:val="005F2CB1"/>
    <w:rsid w:val="005F3025"/>
    <w:rsid w:val="005F618C"/>
    <w:rsid w:val="005F70BD"/>
    <w:rsid w:val="0060283C"/>
    <w:rsid w:val="00604698"/>
    <w:rsid w:val="00604F14"/>
    <w:rsid w:val="00611B83"/>
    <w:rsid w:val="00613257"/>
    <w:rsid w:val="00620A71"/>
    <w:rsid w:val="00620D80"/>
    <w:rsid w:val="006212A9"/>
    <w:rsid w:val="006234A6"/>
    <w:rsid w:val="0062704D"/>
    <w:rsid w:val="00630001"/>
    <w:rsid w:val="006311B3"/>
    <w:rsid w:val="0063284C"/>
    <w:rsid w:val="00636398"/>
    <w:rsid w:val="006368D3"/>
    <w:rsid w:val="006377EC"/>
    <w:rsid w:val="0064151F"/>
    <w:rsid w:val="00641533"/>
    <w:rsid w:val="0064208D"/>
    <w:rsid w:val="00643475"/>
    <w:rsid w:val="0064396A"/>
    <w:rsid w:val="0064624E"/>
    <w:rsid w:val="00650AB9"/>
    <w:rsid w:val="00654B6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2AE"/>
    <w:rsid w:val="006741F2"/>
    <w:rsid w:val="00674CC3"/>
    <w:rsid w:val="00675C72"/>
    <w:rsid w:val="006771F9"/>
    <w:rsid w:val="006776D7"/>
    <w:rsid w:val="00681003"/>
    <w:rsid w:val="006817C9"/>
    <w:rsid w:val="00683B2E"/>
    <w:rsid w:val="00683ECE"/>
    <w:rsid w:val="00686B12"/>
    <w:rsid w:val="00694BDA"/>
    <w:rsid w:val="00695FC2"/>
    <w:rsid w:val="00696949"/>
    <w:rsid w:val="00697052"/>
    <w:rsid w:val="006A46FB"/>
    <w:rsid w:val="006A5E28"/>
    <w:rsid w:val="006A697B"/>
    <w:rsid w:val="006A7AFF"/>
    <w:rsid w:val="006B1816"/>
    <w:rsid w:val="006B2099"/>
    <w:rsid w:val="006B50CF"/>
    <w:rsid w:val="006B5B0F"/>
    <w:rsid w:val="006C03B8"/>
    <w:rsid w:val="006C385E"/>
    <w:rsid w:val="006C5EC9"/>
    <w:rsid w:val="006C6059"/>
    <w:rsid w:val="006C716E"/>
    <w:rsid w:val="006C7522"/>
    <w:rsid w:val="006D23AC"/>
    <w:rsid w:val="006D6F08"/>
    <w:rsid w:val="006E062C"/>
    <w:rsid w:val="006E28B7"/>
    <w:rsid w:val="006E3310"/>
    <w:rsid w:val="006E4826"/>
    <w:rsid w:val="006E4E39"/>
    <w:rsid w:val="006E565E"/>
    <w:rsid w:val="006E673D"/>
    <w:rsid w:val="006E7D3B"/>
    <w:rsid w:val="006F1B70"/>
    <w:rsid w:val="006F341D"/>
    <w:rsid w:val="006F3CDE"/>
    <w:rsid w:val="006F58D4"/>
    <w:rsid w:val="00700821"/>
    <w:rsid w:val="0070346E"/>
    <w:rsid w:val="00704EDB"/>
    <w:rsid w:val="00706101"/>
    <w:rsid w:val="00707072"/>
    <w:rsid w:val="00707D61"/>
    <w:rsid w:val="00712287"/>
    <w:rsid w:val="00712772"/>
    <w:rsid w:val="007148D3"/>
    <w:rsid w:val="00715B9A"/>
    <w:rsid w:val="00726EA6"/>
    <w:rsid w:val="00727208"/>
    <w:rsid w:val="00727680"/>
    <w:rsid w:val="00732461"/>
    <w:rsid w:val="00733D95"/>
    <w:rsid w:val="007348B1"/>
    <w:rsid w:val="007362A6"/>
    <w:rsid w:val="00736D7D"/>
    <w:rsid w:val="00740E58"/>
    <w:rsid w:val="007417EA"/>
    <w:rsid w:val="007445A0"/>
    <w:rsid w:val="0074524B"/>
    <w:rsid w:val="00747D8B"/>
    <w:rsid w:val="00751228"/>
    <w:rsid w:val="0075600C"/>
    <w:rsid w:val="007571E1"/>
    <w:rsid w:val="007604B2"/>
    <w:rsid w:val="00760F5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8A4"/>
    <w:rsid w:val="007C6A07"/>
    <w:rsid w:val="007C75A1"/>
    <w:rsid w:val="007C77A5"/>
    <w:rsid w:val="007D04E5"/>
    <w:rsid w:val="007D5901"/>
    <w:rsid w:val="007D6BCA"/>
    <w:rsid w:val="007D7526"/>
    <w:rsid w:val="007E4610"/>
    <w:rsid w:val="007E4715"/>
    <w:rsid w:val="007E505B"/>
    <w:rsid w:val="007E7091"/>
    <w:rsid w:val="00803FAE"/>
    <w:rsid w:val="0080605F"/>
    <w:rsid w:val="00807314"/>
    <w:rsid w:val="00807786"/>
    <w:rsid w:val="00811D67"/>
    <w:rsid w:val="00811FCB"/>
    <w:rsid w:val="008158D6"/>
    <w:rsid w:val="00817196"/>
    <w:rsid w:val="00817B8B"/>
    <w:rsid w:val="008235DB"/>
    <w:rsid w:val="00824AB4"/>
    <w:rsid w:val="00825C42"/>
    <w:rsid w:val="00825D25"/>
    <w:rsid w:val="00827D6F"/>
    <w:rsid w:val="00833B14"/>
    <w:rsid w:val="00835908"/>
    <w:rsid w:val="00836E6C"/>
    <w:rsid w:val="008376AC"/>
    <w:rsid w:val="008444E8"/>
    <w:rsid w:val="00844E80"/>
    <w:rsid w:val="00846FE7"/>
    <w:rsid w:val="00850ECB"/>
    <w:rsid w:val="00856567"/>
    <w:rsid w:val="00856911"/>
    <w:rsid w:val="008677FD"/>
    <w:rsid w:val="008706D4"/>
    <w:rsid w:val="00870F8A"/>
    <w:rsid w:val="008719A4"/>
    <w:rsid w:val="00871D23"/>
    <w:rsid w:val="008720AE"/>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1AD"/>
    <w:rsid w:val="008B484D"/>
    <w:rsid w:val="008B51A0"/>
    <w:rsid w:val="008B592A"/>
    <w:rsid w:val="008B7B5C"/>
    <w:rsid w:val="008C0C99"/>
    <w:rsid w:val="008C2017"/>
    <w:rsid w:val="008C3641"/>
    <w:rsid w:val="008C4958"/>
    <w:rsid w:val="008C4BAA"/>
    <w:rsid w:val="008C64AA"/>
    <w:rsid w:val="008C6AE8"/>
    <w:rsid w:val="008C7573"/>
    <w:rsid w:val="008D34F1"/>
    <w:rsid w:val="008D39D8"/>
    <w:rsid w:val="008D6D1A"/>
    <w:rsid w:val="008E065E"/>
    <w:rsid w:val="008E0927"/>
    <w:rsid w:val="008E1909"/>
    <w:rsid w:val="008E3AC0"/>
    <w:rsid w:val="008E3E7E"/>
    <w:rsid w:val="008F1EAB"/>
    <w:rsid w:val="008F2DE1"/>
    <w:rsid w:val="008F33DC"/>
    <w:rsid w:val="008F477F"/>
    <w:rsid w:val="00902350"/>
    <w:rsid w:val="0090336B"/>
    <w:rsid w:val="00905065"/>
    <w:rsid w:val="009053AA"/>
    <w:rsid w:val="009063C9"/>
    <w:rsid w:val="00906939"/>
    <w:rsid w:val="00910B7D"/>
    <w:rsid w:val="00911DFB"/>
    <w:rsid w:val="009139D9"/>
    <w:rsid w:val="00914AD8"/>
    <w:rsid w:val="00916079"/>
    <w:rsid w:val="00917CE9"/>
    <w:rsid w:val="00920BF2"/>
    <w:rsid w:val="00922010"/>
    <w:rsid w:val="00931BD9"/>
    <w:rsid w:val="009368F3"/>
    <w:rsid w:val="00941636"/>
    <w:rsid w:val="00942ECC"/>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673"/>
    <w:rsid w:val="00976949"/>
    <w:rsid w:val="00976DB3"/>
    <w:rsid w:val="00980477"/>
    <w:rsid w:val="00985253"/>
    <w:rsid w:val="009853B3"/>
    <w:rsid w:val="00987333"/>
    <w:rsid w:val="00990630"/>
    <w:rsid w:val="00991761"/>
    <w:rsid w:val="00994DCA"/>
    <w:rsid w:val="009960EC"/>
    <w:rsid w:val="00996F45"/>
    <w:rsid w:val="009970DD"/>
    <w:rsid w:val="009A02F7"/>
    <w:rsid w:val="009A0FBA"/>
    <w:rsid w:val="009A1601"/>
    <w:rsid w:val="009A462D"/>
    <w:rsid w:val="009A5CBA"/>
    <w:rsid w:val="009B1F30"/>
    <w:rsid w:val="009B2FBA"/>
    <w:rsid w:val="009B3AC2"/>
    <w:rsid w:val="009B4DF4"/>
    <w:rsid w:val="009B564E"/>
    <w:rsid w:val="009B64E5"/>
    <w:rsid w:val="009B7E87"/>
    <w:rsid w:val="009C403E"/>
    <w:rsid w:val="009D4FF0"/>
    <w:rsid w:val="009D703C"/>
    <w:rsid w:val="009D718F"/>
    <w:rsid w:val="009E068F"/>
    <w:rsid w:val="009E14E0"/>
    <w:rsid w:val="009E1870"/>
    <w:rsid w:val="009E35DB"/>
    <w:rsid w:val="009E47A3"/>
    <w:rsid w:val="009E5241"/>
    <w:rsid w:val="009F08F3"/>
    <w:rsid w:val="009F344F"/>
    <w:rsid w:val="009F63EF"/>
    <w:rsid w:val="009F6B2F"/>
    <w:rsid w:val="00A048A8"/>
    <w:rsid w:val="00A04F49"/>
    <w:rsid w:val="00A11199"/>
    <w:rsid w:val="00A13E54"/>
    <w:rsid w:val="00A17F63"/>
    <w:rsid w:val="00A2193B"/>
    <w:rsid w:val="00A2351A"/>
    <w:rsid w:val="00A264A9"/>
    <w:rsid w:val="00A27785"/>
    <w:rsid w:val="00A30187"/>
    <w:rsid w:val="00A3448A"/>
    <w:rsid w:val="00A36297"/>
    <w:rsid w:val="00A36A65"/>
    <w:rsid w:val="00A41E2B"/>
    <w:rsid w:val="00A45B74"/>
    <w:rsid w:val="00A52E1D"/>
    <w:rsid w:val="00A61499"/>
    <w:rsid w:val="00A62A77"/>
    <w:rsid w:val="00A63483"/>
    <w:rsid w:val="00A657D7"/>
    <w:rsid w:val="00A660AC"/>
    <w:rsid w:val="00A67E6C"/>
    <w:rsid w:val="00A71B99"/>
    <w:rsid w:val="00A739D0"/>
    <w:rsid w:val="00A761D4"/>
    <w:rsid w:val="00A76C68"/>
    <w:rsid w:val="00A77EC4"/>
    <w:rsid w:val="00A86C1C"/>
    <w:rsid w:val="00A92879"/>
    <w:rsid w:val="00A9442A"/>
    <w:rsid w:val="00A96462"/>
    <w:rsid w:val="00AA016F"/>
    <w:rsid w:val="00AA1ED6"/>
    <w:rsid w:val="00AA51D6"/>
    <w:rsid w:val="00AB0BC8"/>
    <w:rsid w:val="00AB11CA"/>
    <w:rsid w:val="00AB14D9"/>
    <w:rsid w:val="00AB1836"/>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02D0"/>
    <w:rsid w:val="00AF1C5D"/>
    <w:rsid w:val="00AF42D7"/>
    <w:rsid w:val="00B006FE"/>
    <w:rsid w:val="00B007CB"/>
    <w:rsid w:val="00B02AA9"/>
    <w:rsid w:val="00B02FA3"/>
    <w:rsid w:val="00B05084"/>
    <w:rsid w:val="00B157F9"/>
    <w:rsid w:val="00B20256"/>
    <w:rsid w:val="00B20D09"/>
    <w:rsid w:val="00B214B6"/>
    <w:rsid w:val="00B2763F"/>
    <w:rsid w:val="00B27AAC"/>
    <w:rsid w:val="00B304F3"/>
    <w:rsid w:val="00B30929"/>
    <w:rsid w:val="00B372AA"/>
    <w:rsid w:val="00B40445"/>
    <w:rsid w:val="00B40BEF"/>
    <w:rsid w:val="00B41888"/>
    <w:rsid w:val="00B45A52"/>
    <w:rsid w:val="00B46175"/>
    <w:rsid w:val="00B466DC"/>
    <w:rsid w:val="00B53EE8"/>
    <w:rsid w:val="00B6188F"/>
    <w:rsid w:val="00B664C7"/>
    <w:rsid w:val="00B739F6"/>
    <w:rsid w:val="00B81A6C"/>
    <w:rsid w:val="00B84A54"/>
    <w:rsid w:val="00B85DE5"/>
    <w:rsid w:val="00B90F73"/>
    <w:rsid w:val="00B92713"/>
    <w:rsid w:val="00B93B59"/>
    <w:rsid w:val="00B9406A"/>
    <w:rsid w:val="00B97752"/>
    <w:rsid w:val="00BA2280"/>
    <w:rsid w:val="00BA2A08"/>
    <w:rsid w:val="00BA2D74"/>
    <w:rsid w:val="00BA315E"/>
    <w:rsid w:val="00BA38CA"/>
    <w:rsid w:val="00BA56D2"/>
    <w:rsid w:val="00BA76E0"/>
    <w:rsid w:val="00BB2A25"/>
    <w:rsid w:val="00BB51E9"/>
    <w:rsid w:val="00BC0FDC"/>
    <w:rsid w:val="00BC3053"/>
    <w:rsid w:val="00BC4D2E"/>
    <w:rsid w:val="00BD01C1"/>
    <w:rsid w:val="00BD48AC"/>
    <w:rsid w:val="00BD5F1A"/>
    <w:rsid w:val="00BD6664"/>
    <w:rsid w:val="00BE1234"/>
    <w:rsid w:val="00BE2FA6"/>
    <w:rsid w:val="00BE333F"/>
    <w:rsid w:val="00BE3B75"/>
    <w:rsid w:val="00BE7406"/>
    <w:rsid w:val="00BE7603"/>
    <w:rsid w:val="00BF3279"/>
    <w:rsid w:val="00BF74C7"/>
    <w:rsid w:val="00C015F1"/>
    <w:rsid w:val="00C01F33"/>
    <w:rsid w:val="00C02443"/>
    <w:rsid w:val="00C02CC6"/>
    <w:rsid w:val="00C040F7"/>
    <w:rsid w:val="00C041B0"/>
    <w:rsid w:val="00C044AB"/>
    <w:rsid w:val="00C05642"/>
    <w:rsid w:val="00C05706"/>
    <w:rsid w:val="00C07377"/>
    <w:rsid w:val="00C10478"/>
    <w:rsid w:val="00C120FC"/>
    <w:rsid w:val="00C12107"/>
    <w:rsid w:val="00C14D4B"/>
    <w:rsid w:val="00C154BB"/>
    <w:rsid w:val="00C207FE"/>
    <w:rsid w:val="00C279B5"/>
    <w:rsid w:val="00C27C45"/>
    <w:rsid w:val="00C36312"/>
    <w:rsid w:val="00C3719D"/>
    <w:rsid w:val="00C40B2C"/>
    <w:rsid w:val="00C45F10"/>
    <w:rsid w:val="00C54995"/>
    <w:rsid w:val="00C54D41"/>
    <w:rsid w:val="00C60783"/>
    <w:rsid w:val="00C61E96"/>
    <w:rsid w:val="00C64672"/>
    <w:rsid w:val="00C6609B"/>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1D1A"/>
    <w:rsid w:val="00D239A7"/>
    <w:rsid w:val="00D23F47"/>
    <w:rsid w:val="00D36E71"/>
    <w:rsid w:val="00D37B92"/>
    <w:rsid w:val="00D37D87"/>
    <w:rsid w:val="00D40B33"/>
    <w:rsid w:val="00D4318F"/>
    <w:rsid w:val="00D438BF"/>
    <w:rsid w:val="00D440F8"/>
    <w:rsid w:val="00D50F97"/>
    <w:rsid w:val="00D546FF"/>
    <w:rsid w:val="00D55AD5"/>
    <w:rsid w:val="00D576CA"/>
    <w:rsid w:val="00D57883"/>
    <w:rsid w:val="00D61AF5"/>
    <w:rsid w:val="00D652B5"/>
    <w:rsid w:val="00D66155"/>
    <w:rsid w:val="00D708B0"/>
    <w:rsid w:val="00D727F0"/>
    <w:rsid w:val="00D77B1D"/>
    <w:rsid w:val="00D8021F"/>
    <w:rsid w:val="00D80383"/>
    <w:rsid w:val="00D823C6"/>
    <w:rsid w:val="00D86CA3"/>
    <w:rsid w:val="00D871CE"/>
    <w:rsid w:val="00D9196D"/>
    <w:rsid w:val="00D92982"/>
    <w:rsid w:val="00D9547E"/>
    <w:rsid w:val="00DA305E"/>
    <w:rsid w:val="00DA5417"/>
    <w:rsid w:val="00DA56E8"/>
    <w:rsid w:val="00DB0A9F"/>
    <w:rsid w:val="00DB377D"/>
    <w:rsid w:val="00DC2D36"/>
    <w:rsid w:val="00DC3A53"/>
    <w:rsid w:val="00DC53EF"/>
    <w:rsid w:val="00DD69E1"/>
    <w:rsid w:val="00DE5608"/>
    <w:rsid w:val="00DE58D0"/>
    <w:rsid w:val="00DE654F"/>
    <w:rsid w:val="00DF0B6E"/>
    <w:rsid w:val="00DF15E0"/>
    <w:rsid w:val="00DF37A0"/>
    <w:rsid w:val="00DF71A0"/>
    <w:rsid w:val="00E110E7"/>
    <w:rsid w:val="00E11B20"/>
    <w:rsid w:val="00E144E4"/>
    <w:rsid w:val="00E14D9A"/>
    <w:rsid w:val="00E163BB"/>
    <w:rsid w:val="00E17FA2"/>
    <w:rsid w:val="00E22330"/>
    <w:rsid w:val="00E27F76"/>
    <w:rsid w:val="00E30B5A"/>
    <w:rsid w:val="00E3123D"/>
    <w:rsid w:val="00E31461"/>
    <w:rsid w:val="00E31D43"/>
    <w:rsid w:val="00E32608"/>
    <w:rsid w:val="00E34188"/>
    <w:rsid w:val="00E34B6E"/>
    <w:rsid w:val="00E35559"/>
    <w:rsid w:val="00E3723A"/>
    <w:rsid w:val="00E37860"/>
    <w:rsid w:val="00E41853"/>
    <w:rsid w:val="00E446F1"/>
    <w:rsid w:val="00E46886"/>
    <w:rsid w:val="00E47AEF"/>
    <w:rsid w:val="00E523CD"/>
    <w:rsid w:val="00E53B75"/>
    <w:rsid w:val="00E54E3B"/>
    <w:rsid w:val="00E57565"/>
    <w:rsid w:val="00E63838"/>
    <w:rsid w:val="00E64434"/>
    <w:rsid w:val="00E660D3"/>
    <w:rsid w:val="00E660FC"/>
    <w:rsid w:val="00E67C51"/>
    <w:rsid w:val="00E72EFC"/>
    <w:rsid w:val="00E758EC"/>
    <w:rsid w:val="00E768A5"/>
    <w:rsid w:val="00E8234C"/>
    <w:rsid w:val="00E83896"/>
    <w:rsid w:val="00E83AA9"/>
    <w:rsid w:val="00E85928"/>
    <w:rsid w:val="00E86933"/>
    <w:rsid w:val="00E87822"/>
    <w:rsid w:val="00E90395"/>
    <w:rsid w:val="00E90E49"/>
    <w:rsid w:val="00E917F9"/>
    <w:rsid w:val="00E9291C"/>
    <w:rsid w:val="00E92B06"/>
    <w:rsid w:val="00E93514"/>
    <w:rsid w:val="00E93FFE"/>
    <w:rsid w:val="00E94F8A"/>
    <w:rsid w:val="00E9690E"/>
    <w:rsid w:val="00EA741E"/>
    <w:rsid w:val="00EA7A41"/>
    <w:rsid w:val="00EB01DC"/>
    <w:rsid w:val="00EB077B"/>
    <w:rsid w:val="00EB3731"/>
    <w:rsid w:val="00EB4EA2"/>
    <w:rsid w:val="00EC27C6"/>
    <w:rsid w:val="00EC4207"/>
    <w:rsid w:val="00EC5653"/>
    <w:rsid w:val="00EC71CE"/>
    <w:rsid w:val="00ED1006"/>
    <w:rsid w:val="00EE2D06"/>
    <w:rsid w:val="00EF18FE"/>
    <w:rsid w:val="00EF5787"/>
    <w:rsid w:val="00EF60D0"/>
    <w:rsid w:val="00F0528D"/>
    <w:rsid w:val="00F06C67"/>
    <w:rsid w:val="00F06DFD"/>
    <w:rsid w:val="00F071D1"/>
    <w:rsid w:val="00F07533"/>
    <w:rsid w:val="00F10629"/>
    <w:rsid w:val="00F154BD"/>
    <w:rsid w:val="00F15FA5"/>
    <w:rsid w:val="00F209B7"/>
    <w:rsid w:val="00F21297"/>
    <w:rsid w:val="00F2376F"/>
    <w:rsid w:val="00F243D8"/>
    <w:rsid w:val="00F30828"/>
    <w:rsid w:val="00F313D6"/>
    <w:rsid w:val="00F35B3D"/>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2D41"/>
    <w:rsid w:val="00F74BB9"/>
    <w:rsid w:val="00F75582"/>
    <w:rsid w:val="00F76EFA"/>
    <w:rsid w:val="00F804BE"/>
    <w:rsid w:val="00F817CE"/>
    <w:rsid w:val="00F8456C"/>
    <w:rsid w:val="00F849DB"/>
    <w:rsid w:val="00F859D8"/>
    <w:rsid w:val="00F868F5"/>
    <w:rsid w:val="00F9056A"/>
    <w:rsid w:val="00F90F8D"/>
    <w:rsid w:val="00F92782"/>
    <w:rsid w:val="00F93AA9"/>
    <w:rsid w:val="00F9669B"/>
    <w:rsid w:val="00F96985"/>
    <w:rsid w:val="00F97838"/>
    <w:rsid w:val="00FA2BB3"/>
    <w:rsid w:val="00FA6DF7"/>
    <w:rsid w:val="00FB3BFC"/>
    <w:rsid w:val="00FB4C80"/>
    <w:rsid w:val="00FB6A6A"/>
    <w:rsid w:val="00FC7429"/>
    <w:rsid w:val="00FD07F6"/>
    <w:rsid w:val="00FD1EC8"/>
    <w:rsid w:val="00FD47ED"/>
    <w:rsid w:val="00FD74DB"/>
    <w:rsid w:val="00FD7660"/>
    <w:rsid w:val="00FE0655"/>
    <w:rsid w:val="00FE2365"/>
    <w:rsid w:val="00FE4C7B"/>
    <w:rsid w:val="00FE7336"/>
    <w:rsid w:val="00FE787C"/>
    <w:rsid w:val="00FF34D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704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6270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704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uiPriority w:val="34"/>
    <w:qFormat/>
    <w:rsid w:val="00EB3731"/>
    <w:pPr>
      <w:ind w:left="720"/>
      <w:contextualSpacing/>
    </w:pPr>
  </w:style>
  <w:style w:type="table" w:styleId="TableGrid">
    <w:name w:val="Table Grid"/>
    <w:basedOn w:val="TableNormal"/>
    <w:rsid w:val="00BA3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331292">
      <w:bodyDiv w:val="1"/>
      <w:marLeft w:val="0"/>
      <w:marRight w:val="0"/>
      <w:marTop w:val="0"/>
      <w:marBottom w:val="0"/>
      <w:divBdr>
        <w:top w:val="none" w:sz="0" w:space="0" w:color="auto"/>
        <w:left w:val="none" w:sz="0" w:space="0" w:color="auto"/>
        <w:bottom w:val="none" w:sz="0" w:space="0" w:color="auto"/>
        <w:right w:val="none" w:sz="0" w:space="0" w:color="auto"/>
      </w:divBdr>
    </w:div>
    <w:div w:id="776828770">
      <w:bodyDiv w:val="1"/>
      <w:marLeft w:val="0"/>
      <w:marRight w:val="0"/>
      <w:marTop w:val="0"/>
      <w:marBottom w:val="0"/>
      <w:divBdr>
        <w:top w:val="none" w:sz="0" w:space="0" w:color="auto"/>
        <w:left w:val="none" w:sz="0" w:space="0" w:color="auto"/>
        <w:bottom w:val="none" w:sz="0" w:space="0" w:color="auto"/>
        <w:right w:val="none" w:sz="0" w:space="0" w:color="auto"/>
      </w:divBdr>
    </w:div>
    <w:div w:id="1704137076">
      <w:bodyDiv w:val="1"/>
      <w:marLeft w:val="0"/>
      <w:marRight w:val="0"/>
      <w:marTop w:val="0"/>
      <w:marBottom w:val="0"/>
      <w:divBdr>
        <w:top w:val="none" w:sz="0" w:space="0" w:color="auto"/>
        <w:left w:val="none" w:sz="0" w:space="0" w:color="auto"/>
        <w:bottom w:val="none" w:sz="0" w:space="0" w:color="auto"/>
        <w:right w:val="none" w:sz="0" w:space="0" w:color="auto"/>
      </w:divBdr>
    </w:div>
    <w:div w:id="185915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ACB0BFAF4B3DB478B6E162A113003C9" ma:contentTypeVersion="4" ma:contentTypeDescription="Ein neues Dokument erstellen." ma:contentTypeScope="" ma:versionID="e3185984757df572d9d307f14ef95bb3">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b8aca4807d8402fbd01ac8cd96c7cbd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6542AD-A668-4098-82D4-418548420A75}">
  <ds:schemaRefs>
    <ds:schemaRef ds:uri="http://schemas.microsoft.com/sharepoint/v3/contenttype/forms"/>
  </ds:schemaRefs>
</ds:datastoreItem>
</file>

<file path=customXml/itemProps2.xml><?xml version="1.0" encoding="utf-8"?>
<ds:datastoreItem xmlns:ds="http://schemas.openxmlformats.org/officeDocument/2006/customXml" ds:itemID="{7793B963-3BCD-4420-B5A2-8A7C103F7B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5B24C7-B879-4505-8744-10F01E006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530</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2018-03-27T14:49:00Z</dcterms:created>
  <dcterms:modified xsi:type="dcterms:W3CDTF">2018-04-06T11:40:00Z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ies>
</file>